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C76152" w14:textId="77777777" w:rsidR="0049099E" w:rsidRDefault="0049099E" w:rsidP="0049099E">
      <w:pPr>
        <w:pStyle w:val="Heading1"/>
        <w:spacing w:before="0" w:line="240" w:lineRule="auto"/>
        <w:jc w:val="center"/>
        <w:rPr>
          <w:color w:val="000000"/>
        </w:rPr>
      </w:pPr>
      <w:r>
        <w:rPr>
          <w:color w:val="000000"/>
        </w:rPr>
        <w:t>Call for Papers</w:t>
      </w:r>
    </w:p>
    <w:p w14:paraId="693C026F" w14:textId="1DE135A0" w:rsidR="0049099E" w:rsidRDefault="00000000" w:rsidP="0049099E">
      <w:pPr>
        <w:pStyle w:val="Heading1"/>
        <w:spacing w:before="0" w:line="240" w:lineRule="auto"/>
        <w:jc w:val="center"/>
        <w:rPr>
          <w:color w:val="000000"/>
        </w:rPr>
      </w:pPr>
      <w:r>
        <w:rPr>
          <w:color w:val="000000"/>
        </w:rPr>
        <w:t>IEEE J-ERM Special Issue</w:t>
      </w:r>
    </w:p>
    <w:p w14:paraId="5AD49369" w14:textId="77777777" w:rsidR="0049099E" w:rsidRDefault="0049099E" w:rsidP="0049099E">
      <w:pPr>
        <w:pStyle w:val="Heading1"/>
        <w:spacing w:before="0"/>
        <w:jc w:val="center"/>
        <w:rPr>
          <w:color w:val="000000" w:themeColor="text1"/>
        </w:rPr>
      </w:pPr>
      <w:r>
        <w:br/>
      </w:r>
      <w:r w:rsidRPr="0049099E">
        <w:rPr>
          <w:color w:val="000000" w:themeColor="text1"/>
        </w:rPr>
        <w:t>Emerging Paradigms in Intelligent Electromagnetic</w:t>
      </w:r>
    </w:p>
    <w:p w14:paraId="00000001" w14:textId="6E006904" w:rsidR="0038713C" w:rsidRPr="0049099E" w:rsidRDefault="0049099E" w:rsidP="0049099E">
      <w:pPr>
        <w:pStyle w:val="Heading1"/>
        <w:spacing w:before="0"/>
        <w:jc w:val="center"/>
      </w:pPr>
      <w:r w:rsidRPr="0049099E">
        <w:rPr>
          <w:color w:val="000000" w:themeColor="text1"/>
        </w:rPr>
        <w:t>Imaging and Sensing for Health and Medicine</w:t>
      </w:r>
    </w:p>
    <w:p w14:paraId="00000004" w14:textId="12AA643C" w:rsidR="0038713C" w:rsidRDefault="0038713C">
      <w:pPr>
        <w:pStyle w:val="Heading1"/>
        <w:spacing w:before="0"/>
        <w:rPr>
          <w:color w:val="000000"/>
          <w:sz w:val="22"/>
          <w:szCs w:val="22"/>
        </w:rPr>
      </w:pPr>
    </w:p>
    <w:p w14:paraId="00000005" w14:textId="77777777" w:rsidR="0038713C" w:rsidRDefault="00000000">
      <w:pPr>
        <w:jc w:val="both"/>
        <w:rPr>
          <w:rFonts w:ascii="Calibri" w:eastAsia="Calibri" w:hAnsi="Calibri" w:cs="Calibri"/>
        </w:rPr>
      </w:pPr>
      <w:r>
        <w:rPr>
          <w:rFonts w:ascii="Calibri" w:eastAsia="Calibri" w:hAnsi="Calibri" w:cs="Calibri"/>
        </w:rPr>
        <w:t>Electromagnetic (EM) imaging and sensing technologies are undergoing a transformative evolution driven by advances in computational modeling, miniaturized hardware, artificial intelligence integration, multimodal data fusion, and emerging materials. Beyond traditional diagnostic imaging, EM-based systems are increasingly positioned to enable continuous health monitoring, patient-specific modeling, non-contact assessment, and portable point-of-care solutions. These emerging paradigms extend the role of EM technologies from laboratory prototypes toward scalable, translational healthcare platforms.</w:t>
      </w:r>
    </w:p>
    <w:p w14:paraId="00000006" w14:textId="6BCA3DD5" w:rsidR="0038713C" w:rsidRDefault="00000000">
      <w:pPr>
        <w:jc w:val="both"/>
        <w:rPr>
          <w:rFonts w:ascii="Calibri" w:eastAsia="Calibri" w:hAnsi="Calibri" w:cs="Calibri"/>
        </w:rPr>
      </w:pPr>
      <w:r>
        <w:rPr>
          <w:rFonts w:ascii="Calibri" w:eastAsia="Calibri" w:hAnsi="Calibri" w:cs="Calibri"/>
        </w:rPr>
        <w:t>This Special Issue</w:t>
      </w:r>
      <w:r w:rsidR="000F2A50">
        <w:rPr>
          <w:rFonts w:ascii="Calibri" w:eastAsia="Calibri" w:hAnsi="Calibri" w:cs="Calibri"/>
        </w:rPr>
        <w:t xml:space="preserve"> of the </w:t>
      </w:r>
      <w:hyperlink r:id="rId8" w:history="1">
        <w:r w:rsidR="000F2A50" w:rsidRPr="000F2A50">
          <w:rPr>
            <w:rStyle w:val="Hyperlink"/>
            <w:rFonts w:ascii="Calibri" w:eastAsia="Calibri" w:hAnsi="Calibri" w:cs="Calibri"/>
            <w:i/>
            <w:iCs/>
          </w:rPr>
          <w:t>IEEE Journal of Electromagnetics RF and Microwaves in Medicine and Biology</w:t>
        </w:r>
      </w:hyperlink>
      <w:r w:rsidR="000F2A50" w:rsidRPr="000F2A50">
        <w:rPr>
          <w:rFonts w:ascii="Calibri" w:eastAsia="Calibri" w:hAnsi="Calibri" w:cs="Calibri"/>
        </w:rPr>
        <w:t xml:space="preserve"> </w:t>
      </w:r>
      <w:r>
        <w:rPr>
          <w:rFonts w:ascii="Calibri" w:eastAsia="Calibri" w:hAnsi="Calibri" w:cs="Calibri"/>
        </w:rPr>
        <w:t>aims to capture the next generation of innovations shaping electromagnetic imaging and sensing across health and medicine. Contributions are invited that present theoretical advances, system-level architectures, algorithmic developments, experimental validations, translational studies, and clinical evaluations. Emphasis will be placed on forward-looking approaches that redefine performance, integration, interpretability, scalability, and real-world impact.</w:t>
      </w:r>
    </w:p>
    <w:p w14:paraId="00000007" w14:textId="77777777" w:rsidR="0038713C" w:rsidRDefault="00000000">
      <w:pPr>
        <w:jc w:val="both"/>
        <w:rPr>
          <w:rFonts w:ascii="Calibri" w:eastAsia="Calibri" w:hAnsi="Calibri" w:cs="Calibri"/>
        </w:rPr>
      </w:pPr>
      <w:r>
        <w:rPr>
          <w:rFonts w:ascii="Calibri" w:eastAsia="Calibri" w:hAnsi="Calibri" w:cs="Calibri"/>
        </w:rPr>
        <w:t>By bringing together researchers from electromagnetics, biomedical engineering, clinical sciences, materials, and computational intelligence, this Special Issue will provide a comprehensive view of evolving directions and future opportunities in EM-enabled healthcare technologies.</w:t>
      </w:r>
    </w:p>
    <w:p w14:paraId="00000008" w14:textId="77777777" w:rsidR="0038713C" w:rsidRDefault="00000000">
      <w:pPr>
        <w:jc w:val="both"/>
        <w:rPr>
          <w:rFonts w:ascii="Calibri" w:eastAsia="Calibri" w:hAnsi="Calibri" w:cs="Calibri"/>
        </w:rPr>
      </w:pPr>
      <w:r>
        <w:rPr>
          <w:rFonts w:ascii="Calibri" w:eastAsia="Calibri" w:hAnsi="Calibri" w:cs="Calibri"/>
        </w:rPr>
        <w:t>Topics include, but are not limited to:</w:t>
      </w:r>
    </w:p>
    <w:p w14:paraId="00000009" w14:textId="77777777" w:rsidR="0038713C" w:rsidRDefault="00000000">
      <w:pPr>
        <w:numPr>
          <w:ilvl w:val="0"/>
          <w:numId w:val="3"/>
        </w:numPr>
        <w:spacing w:after="0"/>
        <w:jc w:val="both"/>
        <w:rPr>
          <w:rFonts w:ascii="Calibri" w:eastAsia="Calibri" w:hAnsi="Calibri" w:cs="Calibri"/>
        </w:rPr>
      </w:pPr>
      <w:r>
        <w:rPr>
          <w:rFonts w:ascii="Calibri" w:eastAsia="Calibri" w:hAnsi="Calibri" w:cs="Calibri"/>
        </w:rPr>
        <w:t>Microwave, RF, millimeter-wave, terahertz, and optical imaging systems for health</w:t>
      </w:r>
    </w:p>
    <w:p w14:paraId="0000000C" w14:textId="77777777" w:rsidR="0038713C" w:rsidRDefault="00000000">
      <w:pPr>
        <w:numPr>
          <w:ilvl w:val="0"/>
          <w:numId w:val="3"/>
        </w:numPr>
        <w:spacing w:after="0"/>
        <w:jc w:val="both"/>
        <w:rPr>
          <w:rFonts w:ascii="Calibri" w:eastAsia="Calibri" w:hAnsi="Calibri" w:cs="Calibri"/>
        </w:rPr>
      </w:pPr>
      <w:r>
        <w:rPr>
          <w:rFonts w:ascii="Calibri" w:eastAsia="Calibri" w:hAnsi="Calibri" w:cs="Calibri"/>
        </w:rPr>
        <w:t>Non-contact and remote EM sensing for health monitoring</w:t>
      </w:r>
    </w:p>
    <w:p w14:paraId="0000000D" w14:textId="77777777" w:rsidR="0038713C" w:rsidRDefault="00000000">
      <w:pPr>
        <w:numPr>
          <w:ilvl w:val="0"/>
          <w:numId w:val="3"/>
        </w:numPr>
        <w:spacing w:after="0"/>
        <w:jc w:val="both"/>
        <w:rPr>
          <w:rFonts w:ascii="Calibri" w:eastAsia="Calibri" w:hAnsi="Calibri" w:cs="Calibri"/>
        </w:rPr>
      </w:pPr>
      <w:r>
        <w:rPr>
          <w:rFonts w:ascii="Calibri" w:eastAsia="Calibri" w:hAnsi="Calibri" w:cs="Calibri"/>
        </w:rPr>
        <w:t>Wearable, implantable, and embedded EM sensing platforms</w:t>
      </w:r>
    </w:p>
    <w:p w14:paraId="0000000E" w14:textId="77777777" w:rsidR="0038713C" w:rsidRDefault="00000000">
      <w:pPr>
        <w:numPr>
          <w:ilvl w:val="0"/>
          <w:numId w:val="3"/>
        </w:numPr>
        <w:spacing w:after="0"/>
        <w:jc w:val="both"/>
        <w:rPr>
          <w:rFonts w:ascii="Calibri" w:eastAsia="Calibri" w:hAnsi="Calibri" w:cs="Calibri"/>
        </w:rPr>
      </w:pPr>
      <w:r>
        <w:rPr>
          <w:rFonts w:ascii="Calibri" w:eastAsia="Calibri" w:hAnsi="Calibri" w:cs="Calibri"/>
        </w:rPr>
        <w:t>Portable and point-of-care EM imaging systems</w:t>
      </w:r>
    </w:p>
    <w:p w14:paraId="00000010" w14:textId="77777777" w:rsidR="0038713C" w:rsidRDefault="00000000">
      <w:pPr>
        <w:numPr>
          <w:ilvl w:val="0"/>
          <w:numId w:val="3"/>
        </w:numPr>
        <w:spacing w:after="0"/>
        <w:jc w:val="both"/>
        <w:rPr>
          <w:rFonts w:ascii="Calibri" w:eastAsia="Calibri" w:hAnsi="Calibri" w:cs="Calibri"/>
        </w:rPr>
      </w:pPr>
      <w:r>
        <w:rPr>
          <w:rFonts w:ascii="Calibri" w:eastAsia="Calibri" w:hAnsi="Calibri" w:cs="Calibri"/>
        </w:rPr>
        <w:t>Multimodal EM imaging integration (e.g., MRI, ultrasound, CT fusion)</w:t>
      </w:r>
    </w:p>
    <w:p w14:paraId="00000013" w14:textId="77777777" w:rsidR="0038713C" w:rsidRDefault="00000000">
      <w:pPr>
        <w:numPr>
          <w:ilvl w:val="0"/>
          <w:numId w:val="3"/>
        </w:numPr>
        <w:spacing w:after="0"/>
        <w:jc w:val="both"/>
        <w:rPr>
          <w:rFonts w:ascii="Calibri" w:eastAsia="Calibri" w:hAnsi="Calibri" w:cs="Calibri"/>
        </w:rPr>
      </w:pPr>
      <w:r>
        <w:rPr>
          <w:rFonts w:ascii="Calibri" w:eastAsia="Calibri" w:hAnsi="Calibri" w:cs="Calibri"/>
        </w:rPr>
        <w:t>EM system validation using phantoms and clinical datasets</w:t>
      </w:r>
    </w:p>
    <w:p w14:paraId="00000014" w14:textId="77777777" w:rsidR="0038713C" w:rsidRDefault="00000000">
      <w:pPr>
        <w:numPr>
          <w:ilvl w:val="0"/>
          <w:numId w:val="3"/>
        </w:numPr>
        <w:spacing w:after="0"/>
        <w:jc w:val="both"/>
        <w:rPr>
          <w:rFonts w:ascii="Calibri" w:eastAsia="Calibri" w:hAnsi="Calibri" w:cs="Calibri"/>
        </w:rPr>
      </w:pPr>
      <w:r>
        <w:rPr>
          <w:rFonts w:ascii="Calibri" w:eastAsia="Calibri" w:hAnsi="Calibri" w:cs="Calibri"/>
        </w:rPr>
        <w:t>Translational pathways and clinical evaluation of EM technologies</w:t>
      </w:r>
    </w:p>
    <w:p w14:paraId="00000015" w14:textId="77777777" w:rsidR="0038713C" w:rsidRDefault="00000000">
      <w:pPr>
        <w:numPr>
          <w:ilvl w:val="0"/>
          <w:numId w:val="3"/>
        </w:numPr>
        <w:spacing w:after="0"/>
        <w:jc w:val="both"/>
        <w:rPr>
          <w:rFonts w:ascii="Calibri" w:eastAsia="Calibri" w:hAnsi="Calibri" w:cs="Calibri"/>
        </w:rPr>
      </w:pPr>
      <w:r>
        <w:rPr>
          <w:rFonts w:ascii="Calibri" w:eastAsia="Calibri" w:hAnsi="Calibri" w:cs="Calibri"/>
        </w:rPr>
        <w:t xml:space="preserve">AI-based and informed imaging and sensing for higher resolution and accuracy </w:t>
      </w:r>
    </w:p>
    <w:p w14:paraId="00000016" w14:textId="77777777" w:rsidR="0038713C" w:rsidRDefault="00000000">
      <w:pPr>
        <w:numPr>
          <w:ilvl w:val="0"/>
          <w:numId w:val="3"/>
        </w:numPr>
        <w:spacing w:after="0"/>
        <w:jc w:val="both"/>
        <w:rPr>
          <w:rFonts w:ascii="Calibri" w:eastAsia="Calibri" w:hAnsi="Calibri" w:cs="Calibri"/>
        </w:rPr>
      </w:pPr>
      <w:r>
        <w:rPr>
          <w:rFonts w:ascii="Calibri" w:eastAsia="Calibri" w:hAnsi="Calibri" w:cs="Calibri"/>
        </w:rPr>
        <w:t>Regulatory, safety, and SAR considerations in biomedical EM systems</w:t>
      </w:r>
    </w:p>
    <w:p w14:paraId="00000017" w14:textId="77777777" w:rsidR="0038713C" w:rsidRDefault="00000000">
      <w:pPr>
        <w:numPr>
          <w:ilvl w:val="0"/>
          <w:numId w:val="3"/>
        </w:numPr>
        <w:spacing w:after="0"/>
        <w:jc w:val="both"/>
        <w:rPr>
          <w:rFonts w:ascii="Calibri" w:eastAsia="Calibri" w:hAnsi="Calibri" w:cs="Calibri"/>
        </w:rPr>
      </w:pPr>
      <w:r>
        <w:rPr>
          <w:rFonts w:ascii="Calibri" w:eastAsia="Calibri" w:hAnsi="Calibri" w:cs="Calibri"/>
        </w:rPr>
        <w:t xml:space="preserve">Metamaterial and Metasurface-enabled sensing and imaging </w:t>
      </w:r>
    </w:p>
    <w:p w14:paraId="00000019" w14:textId="5BEE6692" w:rsidR="0038713C" w:rsidRPr="00306775" w:rsidRDefault="00000000" w:rsidP="00306775">
      <w:pPr>
        <w:numPr>
          <w:ilvl w:val="0"/>
          <w:numId w:val="3"/>
        </w:numPr>
        <w:spacing w:after="0"/>
        <w:jc w:val="both"/>
        <w:rPr>
          <w:rFonts w:ascii="Calibri" w:eastAsia="Calibri" w:hAnsi="Calibri" w:cs="Calibri"/>
        </w:rPr>
      </w:pPr>
      <w:r>
        <w:rPr>
          <w:rFonts w:ascii="Calibri" w:eastAsia="Calibri" w:hAnsi="Calibri" w:cs="Calibri"/>
        </w:rPr>
        <w:t>Integrated sensing and communication for biomedical applications</w:t>
      </w:r>
    </w:p>
    <w:p w14:paraId="0000001A" w14:textId="7EDE8E14" w:rsidR="0038713C" w:rsidRDefault="008A01FF">
      <w:pPr>
        <w:jc w:val="both"/>
        <w:rPr>
          <w:rFonts w:ascii="Calibri" w:eastAsia="Calibri" w:hAnsi="Calibri" w:cs="Calibri"/>
          <w:b/>
          <w:bCs/>
        </w:rPr>
      </w:pPr>
      <w:r>
        <w:rPr>
          <w:rFonts w:ascii="Calibri" w:eastAsia="Calibri" w:hAnsi="Calibri" w:cs="Calibri"/>
        </w:rPr>
        <w:br/>
        <w:t>Both theoretical and experimental studies are encouraged, including simulation-based, hardware-based, and clinically validated contributions.</w:t>
      </w:r>
    </w:p>
    <w:p w14:paraId="21F59A97" w14:textId="77777777" w:rsidR="008A01FF" w:rsidRDefault="008A01FF">
      <w:pPr>
        <w:jc w:val="both"/>
        <w:rPr>
          <w:rFonts w:ascii="Calibri" w:eastAsia="Calibri" w:hAnsi="Calibri" w:cs="Calibri"/>
          <w:b/>
          <w:bCs/>
        </w:rPr>
      </w:pPr>
    </w:p>
    <w:p w14:paraId="1D4D0A3D" w14:textId="77777777" w:rsidR="008A01FF" w:rsidRDefault="008A01FF">
      <w:pPr>
        <w:jc w:val="both"/>
        <w:rPr>
          <w:rFonts w:ascii="Calibri" w:eastAsia="Calibri" w:hAnsi="Calibri" w:cs="Calibri"/>
          <w:b/>
          <w:bCs/>
        </w:rPr>
      </w:pPr>
    </w:p>
    <w:p w14:paraId="07FFB257" w14:textId="77777777" w:rsidR="008A01FF" w:rsidRDefault="008A01FF">
      <w:pPr>
        <w:jc w:val="both"/>
        <w:rPr>
          <w:rFonts w:ascii="Calibri" w:eastAsia="Calibri" w:hAnsi="Calibri" w:cs="Calibri"/>
          <w:b/>
          <w:bCs/>
        </w:rPr>
      </w:pPr>
    </w:p>
    <w:p w14:paraId="1FE9B638" w14:textId="77777777" w:rsidR="008A01FF" w:rsidRDefault="008A01FF">
      <w:pPr>
        <w:jc w:val="both"/>
        <w:rPr>
          <w:rFonts w:ascii="Calibri" w:eastAsia="Calibri" w:hAnsi="Calibri" w:cs="Calibri"/>
          <w:b/>
          <w:bCs/>
        </w:rPr>
      </w:pPr>
    </w:p>
    <w:p w14:paraId="0A0047A4" w14:textId="64004A33" w:rsidR="00306775" w:rsidRDefault="008A01FF">
      <w:pPr>
        <w:jc w:val="both"/>
        <w:rPr>
          <w:rFonts w:ascii="Calibri" w:eastAsia="Calibri" w:hAnsi="Calibri" w:cs="Calibri"/>
          <w:b/>
          <w:bCs/>
        </w:rPr>
      </w:pPr>
      <w:r>
        <w:rPr>
          <w:rFonts w:ascii="Calibri" w:eastAsia="Calibri" w:hAnsi="Calibri" w:cs="Calibri"/>
          <w:b/>
          <w:bCs/>
        </w:rPr>
        <w:t>How to Submit</w:t>
      </w:r>
    </w:p>
    <w:p w14:paraId="6E395B04" w14:textId="6637B926" w:rsidR="008A01FF" w:rsidRPr="008A01FF" w:rsidRDefault="008A01FF" w:rsidP="008A01FF">
      <w:pPr>
        <w:pStyle w:val="ListParagraph"/>
        <w:numPr>
          <w:ilvl w:val="0"/>
          <w:numId w:val="6"/>
        </w:numPr>
        <w:rPr>
          <w:rFonts w:ascii="Calibri" w:eastAsia="Calibri" w:hAnsi="Calibri" w:cs="Calibri"/>
        </w:rPr>
      </w:pPr>
      <w:r w:rsidRPr="008A01FF">
        <w:rPr>
          <w:rFonts w:ascii="Calibri" w:eastAsia="Calibri" w:hAnsi="Calibri" w:cs="Calibri"/>
        </w:rPr>
        <w:t xml:space="preserve">Papers should be submitted through the IEEE Author Portal </w:t>
      </w:r>
      <w:hyperlink r:id="rId9" w:history="1">
        <w:r w:rsidRPr="008A01FF">
          <w:rPr>
            <w:rStyle w:val="Hyperlink"/>
            <w:rFonts w:ascii="Calibri" w:eastAsia="Calibri" w:hAnsi="Calibri" w:cs="Calibri"/>
          </w:rPr>
          <w:t>https://ieee.atyponrex.com/journal/jerm-ieee</w:t>
        </w:r>
      </w:hyperlink>
    </w:p>
    <w:p w14:paraId="0F62988A" w14:textId="535162F1" w:rsidR="008A01FF" w:rsidRPr="008A01FF" w:rsidRDefault="008A01FF" w:rsidP="008A01FF">
      <w:pPr>
        <w:pStyle w:val="ListParagraph"/>
        <w:numPr>
          <w:ilvl w:val="0"/>
          <w:numId w:val="6"/>
        </w:numPr>
        <w:rPr>
          <w:rFonts w:ascii="Calibri" w:eastAsia="Calibri" w:hAnsi="Calibri" w:cs="Calibri"/>
        </w:rPr>
      </w:pPr>
      <w:r w:rsidRPr="008A01FF">
        <w:rPr>
          <w:rFonts w:ascii="Calibri" w:eastAsia="Calibri" w:hAnsi="Calibri" w:cs="Calibri"/>
        </w:rPr>
        <w:t>In the menu for “Manuscript Type,” please select “Special Issue on Emerging Paradigms in Intelligent Electromagnetic Imaging and Sensing for Health and Medicine.” The submission window will open on March 1, 2026.</w:t>
      </w:r>
    </w:p>
    <w:p w14:paraId="458CC649" w14:textId="53F6A5C8" w:rsidR="008A01FF" w:rsidRPr="008A01FF" w:rsidRDefault="008A01FF" w:rsidP="008A01FF">
      <w:pPr>
        <w:pStyle w:val="ListParagraph"/>
        <w:numPr>
          <w:ilvl w:val="0"/>
          <w:numId w:val="6"/>
        </w:numPr>
        <w:rPr>
          <w:rFonts w:ascii="Calibri" w:eastAsia="Calibri" w:hAnsi="Calibri" w:cs="Calibri"/>
        </w:rPr>
      </w:pPr>
      <w:r w:rsidRPr="008A01FF">
        <w:rPr>
          <w:rFonts w:ascii="Calibri" w:eastAsia="Calibri" w:hAnsi="Calibri" w:cs="Calibri"/>
        </w:rPr>
        <w:t xml:space="preserve">Manuscripts are limited to 8 pages maximum without counting the graphical abstract, citation pages, and bio-sketch pages. </w:t>
      </w:r>
      <w:r w:rsidR="006C7FE0">
        <w:rPr>
          <w:rFonts w:ascii="Calibri" w:eastAsia="Calibri" w:hAnsi="Calibri" w:cs="Calibri"/>
        </w:rPr>
        <w:t>Papers that are longer than 8 pages in published form are subject to mandatory overlength fees of $150/page.</w:t>
      </w:r>
    </w:p>
    <w:p w14:paraId="6106C404" w14:textId="0B72D9A6" w:rsidR="008A01FF" w:rsidRPr="008A01FF" w:rsidRDefault="008A01FF" w:rsidP="008A01FF">
      <w:pPr>
        <w:pStyle w:val="ListParagraph"/>
        <w:numPr>
          <w:ilvl w:val="0"/>
          <w:numId w:val="6"/>
        </w:numPr>
        <w:rPr>
          <w:rFonts w:ascii="Calibri" w:eastAsia="Calibri" w:hAnsi="Calibri" w:cs="Calibri"/>
        </w:rPr>
      </w:pPr>
      <w:r w:rsidRPr="008A01FF">
        <w:rPr>
          <w:rFonts w:ascii="Calibri" w:eastAsia="Calibri" w:hAnsi="Calibri" w:cs="Calibri"/>
        </w:rPr>
        <w:t>The guidelines and template for manuscript preparation can be found on the J-ERM webpage.</w:t>
      </w:r>
    </w:p>
    <w:p w14:paraId="00000047" w14:textId="4C837FF2" w:rsidR="0038713C" w:rsidRDefault="00000000">
      <w:pPr>
        <w:spacing w:after="0"/>
        <w:jc w:val="both"/>
        <w:rPr>
          <w:rFonts w:ascii="Calibri" w:eastAsia="Calibri" w:hAnsi="Calibri" w:cs="Calibri"/>
          <w:b/>
          <w:bCs/>
        </w:rPr>
      </w:pPr>
      <w:r>
        <w:rPr>
          <w:rFonts w:ascii="Calibri" w:eastAsia="Calibri" w:hAnsi="Calibri" w:cs="Calibri"/>
          <w:b/>
          <w:bCs/>
        </w:rPr>
        <w:t>Timeline</w:t>
      </w:r>
    </w:p>
    <w:p w14:paraId="00000048" w14:textId="77777777" w:rsidR="0038713C" w:rsidRDefault="00000000">
      <w:pPr>
        <w:spacing w:after="0"/>
        <w:jc w:val="both"/>
        <w:rPr>
          <w:rFonts w:ascii="Calibri" w:eastAsia="Calibri" w:hAnsi="Calibri" w:cs="Calibri"/>
        </w:rPr>
      </w:pPr>
      <w:r>
        <w:rPr>
          <w:rFonts w:ascii="Calibri" w:eastAsia="Calibri" w:hAnsi="Calibri" w:cs="Calibri"/>
        </w:rPr>
        <w:t>Submissions open: March 1, 2026</w:t>
      </w:r>
    </w:p>
    <w:p w14:paraId="00000049" w14:textId="09ED3C31" w:rsidR="0038713C" w:rsidRDefault="00000000">
      <w:pPr>
        <w:spacing w:after="0"/>
        <w:jc w:val="both"/>
        <w:rPr>
          <w:rFonts w:ascii="Calibri" w:eastAsia="Calibri" w:hAnsi="Calibri" w:cs="Calibri"/>
        </w:rPr>
      </w:pPr>
      <w:r>
        <w:rPr>
          <w:rFonts w:ascii="Calibri" w:eastAsia="Calibri" w:hAnsi="Calibri" w:cs="Calibri"/>
        </w:rPr>
        <w:t xml:space="preserve">Submissions Due: 30 </w:t>
      </w:r>
      <w:r w:rsidR="006C7FE0">
        <w:rPr>
          <w:rFonts w:ascii="Calibri" w:eastAsia="Calibri" w:hAnsi="Calibri" w:cs="Calibri"/>
        </w:rPr>
        <w:t>June</w:t>
      </w:r>
      <w:r>
        <w:rPr>
          <w:rFonts w:ascii="Calibri" w:eastAsia="Calibri" w:hAnsi="Calibri" w:cs="Calibri"/>
        </w:rPr>
        <w:t xml:space="preserve"> 2026</w:t>
      </w:r>
    </w:p>
    <w:p w14:paraId="0000004B" w14:textId="2FDA38B8" w:rsidR="0038713C" w:rsidRDefault="00000000" w:rsidP="00306775">
      <w:pPr>
        <w:spacing w:after="0"/>
        <w:jc w:val="both"/>
        <w:rPr>
          <w:rFonts w:ascii="Calibri" w:eastAsia="Calibri" w:hAnsi="Calibri" w:cs="Calibri"/>
        </w:rPr>
      </w:pPr>
      <w:r>
        <w:rPr>
          <w:rFonts w:ascii="Calibri" w:eastAsia="Calibri" w:hAnsi="Calibri" w:cs="Calibri"/>
        </w:rPr>
        <w:t xml:space="preserve">Publication Date: </w:t>
      </w:r>
      <w:r w:rsidR="008A01FF">
        <w:rPr>
          <w:rFonts w:ascii="Calibri" w:eastAsia="Calibri" w:hAnsi="Calibri" w:cs="Calibri"/>
        </w:rPr>
        <w:t xml:space="preserve">30 </w:t>
      </w:r>
      <w:r w:rsidR="006C7FE0">
        <w:rPr>
          <w:rFonts w:ascii="Calibri" w:eastAsia="Calibri" w:hAnsi="Calibri" w:cs="Calibri"/>
        </w:rPr>
        <w:t>Sept</w:t>
      </w:r>
      <w:r>
        <w:rPr>
          <w:rFonts w:ascii="Calibri" w:eastAsia="Calibri" w:hAnsi="Calibri" w:cs="Calibri"/>
        </w:rPr>
        <w:t xml:space="preserve"> 2026</w:t>
      </w:r>
    </w:p>
    <w:p w14:paraId="5053A130" w14:textId="77777777" w:rsidR="00306775" w:rsidRDefault="00306775" w:rsidP="00306775">
      <w:pPr>
        <w:spacing w:after="0"/>
        <w:jc w:val="both"/>
        <w:rPr>
          <w:rFonts w:ascii="Calibri" w:eastAsia="Calibri" w:hAnsi="Calibri" w:cs="Calibri"/>
        </w:rPr>
      </w:pPr>
    </w:p>
    <w:p w14:paraId="0000004D" w14:textId="6BA77650" w:rsidR="0038713C" w:rsidRPr="00306775" w:rsidRDefault="00000000" w:rsidP="00306775">
      <w:pPr>
        <w:pStyle w:val="Heading1"/>
        <w:spacing w:before="0"/>
        <w:rPr>
          <w:color w:val="000000"/>
          <w:sz w:val="22"/>
          <w:szCs w:val="22"/>
        </w:rPr>
      </w:pPr>
      <w:r>
        <w:rPr>
          <w:color w:val="000000"/>
          <w:sz w:val="22"/>
          <w:szCs w:val="22"/>
        </w:rPr>
        <w:t>Guest Editors</w:t>
      </w:r>
    </w:p>
    <w:p w14:paraId="0000004E" w14:textId="43466793" w:rsidR="0038713C" w:rsidRDefault="00000000">
      <w:pPr>
        <w:numPr>
          <w:ilvl w:val="0"/>
          <w:numId w:val="2"/>
        </w:numPr>
        <w:pBdr>
          <w:top w:val="nil"/>
          <w:left w:val="nil"/>
          <w:bottom w:val="nil"/>
          <w:right w:val="nil"/>
          <w:between w:val="nil"/>
        </w:pBdr>
        <w:spacing w:after="0"/>
        <w:jc w:val="both"/>
        <w:rPr>
          <w:rFonts w:ascii="Calibri" w:eastAsia="Calibri" w:hAnsi="Calibri" w:cs="Calibri"/>
          <w:b/>
          <w:bCs/>
          <w:color w:val="000000"/>
        </w:rPr>
      </w:pPr>
      <w:r>
        <w:rPr>
          <w:rFonts w:ascii="Calibri" w:eastAsia="Calibri" w:hAnsi="Calibri" w:cs="Calibri"/>
          <w:b/>
          <w:bCs/>
          <w:color w:val="000000"/>
        </w:rPr>
        <w:t xml:space="preserve">Sima </w:t>
      </w:r>
      <w:proofErr w:type="spellStart"/>
      <w:r>
        <w:rPr>
          <w:rFonts w:ascii="Calibri" w:eastAsia="Calibri" w:hAnsi="Calibri" w:cs="Calibri"/>
          <w:b/>
          <w:bCs/>
          <w:color w:val="000000"/>
        </w:rPr>
        <w:t>Noghanian</w:t>
      </w:r>
      <w:proofErr w:type="spellEnd"/>
      <w:r w:rsidR="000F2A50">
        <w:rPr>
          <w:rFonts w:ascii="Calibri" w:eastAsia="Calibri" w:hAnsi="Calibri" w:cs="Calibri"/>
          <w:b/>
          <w:bCs/>
          <w:color w:val="000000"/>
        </w:rPr>
        <w:t xml:space="preserve"> (Lead Guest Editor)</w:t>
      </w:r>
    </w:p>
    <w:p w14:paraId="0000004F" w14:textId="77777777" w:rsidR="0038713C" w:rsidRDefault="00000000">
      <w:pPr>
        <w:pBdr>
          <w:top w:val="nil"/>
          <w:left w:val="nil"/>
          <w:bottom w:val="nil"/>
          <w:right w:val="nil"/>
          <w:between w:val="nil"/>
        </w:pBdr>
        <w:spacing w:after="0"/>
        <w:ind w:left="720"/>
        <w:jc w:val="both"/>
        <w:rPr>
          <w:rFonts w:ascii="Calibri" w:eastAsia="Calibri" w:hAnsi="Calibri" w:cs="Calibri"/>
          <w:color w:val="000000"/>
        </w:rPr>
      </w:pPr>
      <w:r>
        <w:rPr>
          <w:rFonts w:ascii="Calibri" w:eastAsia="Calibri" w:hAnsi="Calibri" w:cs="Calibri"/>
          <w:color w:val="000000"/>
        </w:rPr>
        <w:t>Ruckus Networks, USA</w:t>
      </w:r>
    </w:p>
    <w:p w14:paraId="00000050" w14:textId="77777777" w:rsidR="0038713C" w:rsidRDefault="0038713C">
      <w:pPr>
        <w:pBdr>
          <w:top w:val="nil"/>
          <w:left w:val="nil"/>
          <w:bottom w:val="nil"/>
          <w:right w:val="nil"/>
          <w:between w:val="nil"/>
        </w:pBdr>
        <w:spacing w:after="0"/>
        <w:ind w:left="720"/>
        <w:jc w:val="both"/>
        <w:rPr>
          <w:rFonts w:ascii="Calibri" w:eastAsia="Calibri" w:hAnsi="Calibri" w:cs="Calibri"/>
        </w:rPr>
      </w:pPr>
      <w:hyperlink r:id="rId10">
        <w:r>
          <w:rPr>
            <w:rFonts w:ascii="Calibri" w:eastAsia="Calibri" w:hAnsi="Calibri" w:cs="Calibri"/>
            <w:color w:val="0000FF"/>
            <w:u w:val="single"/>
          </w:rPr>
          <w:t>sima_noghanian@ieee.org</w:t>
        </w:r>
      </w:hyperlink>
    </w:p>
    <w:p w14:paraId="00000051" w14:textId="77777777" w:rsidR="0038713C" w:rsidRDefault="00000000">
      <w:pPr>
        <w:numPr>
          <w:ilvl w:val="0"/>
          <w:numId w:val="2"/>
        </w:numPr>
        <w:pBdr>
          <w:top w:val="nil"/>
          <w:left w:val="nil"/>
          <w:bottom w:val="nil"/>
          <w:right w:val="nil"/>
          <w:between w:val="nil"/>
        </w:pBdr>
        <w:spacing w:after="0"/>
        <w:jc w:val="both"/>
        <w:rPr>
          <w:rFonts w:ascii="Calibri" w:eastAsia="Calibri" w:hAnsi="Calibri" w:cs="Calibri"/>
          <w:b/>
          <w:bCs/>
          <w:color w:val="000000"/>
        </w:rPr>
      </w:pPr>
      <w:proofErr w:type="spellStart"/>
      <w:r>
        <w:rPr>
          <w:rFonts w:ascii="Calibri" w:eastAsia="Calibri" w:hAnsi="Calibri" w:cs="Calibri"/>
          <w:b/>
          <w:bCs/>
          <w:color w:val="000000"/>
        </w:rPr>
        <w:t>Ifana</w:t>
      </w:r>
      <w:proofErr w:type="spellEnd"/>
      <w:r>
        <w:rPr>
          <w:rFonts w:ascii="Calibri" w:eastAsia="Calibri" w:hAnsi="Calibri" w:cs="Calibri"/>
          <w:b/>
          <w:bCs/>
          <w:color w:val="000000"/>
        </w:rPr>
        <w:t xml:space="preserve"> Mahbub</w:t>
      </w:r>
    </w:p>
    <w:p w14:paraId="00000052" w14:textId="77777777" w:rsidR="0038713C" w:rsidRDefault="00000000">
      <w:pPr>
        <w:pBdr>
          <w:top w:val="nil"/>
          <w:left w:val="nil"/>
          <w:bottom w:val="nil"/>
          <w:right w:val="nil"/>
          <w:between w:val="nil"/>
        </w:pBdr>
        <w:spacing w:after="0"/>
        <w:ind w:left="720"/>
        <w:jc w:val="both"/>
        <w:rPr>
          <w:rFonts w:ascii="Calibri" w:eastAsia="Calibri" w:hAnsi="Calibri" w:cs="Calibri"/>
          <w:color w:val="000000"/>
        </w:rPr>
      </w:pPr>
      <w:r>
        <w:rPr>
          <w:rFonts w:ascii="Calibri" w:eastAsia="Calibri" w:hAnsi="Calibri" w:cs="Calibri"/>
          <w:color w:val="000000"/>
        </w:rPr>
        <w:t>The University of Texas at Dallas, USA</w:t>
      </w:r>
    </w:p>
    <w:p w14:paraId="00000053" w14:textId="77777777" w:rsidR="0038713C" w:rsidRDefault="0038713C">
      <w:pPr>
        <w:pBdr>
          <w:top w:val="nil"/>
          <w:left w:val="nil"/>
          <w:bottom w:val="nil"/>
          <w:right w:val="nil"/>
          <w:between w:val="nil"/>
        </w:pBdr>
        <w:spacing w:after="0"/>
        <w:ind w:left="720"/>
        <w:jc w:val="both"/>
        <w:rPr>
          <w:rFonts w:ascii="Calibri" w:eastAsia="Calibri" w:hAnsi="Calibri" w:cs="Calibri"/>
        </w:rPr>
      </w:pPr>
      <w:hyperlink r:id="rId11">
        <w:r>
          <w:rPr>
            <w:rFonts w:ascii="Calibri" w:eastAsia="Calibri" w:hAnsi="Calibri" w:cs="Calibri"/>
            <w:color w:val="0000FF"/>
            <w:u w:val="single"/>
          </w:rPr>
          <w:t>Ifana.Mahbub@utdallas.edu</w:t>
        </w:r>
      </w:hyperlink>
    </w:p>
    <w:p w14:paraId="00000054" w14:textId="77777777" w:rsidR="0038713C" w:rsidRDefault="00000000">
      <w:pPr>
        <w:numPr>
          <w:ilvl w:val="0"/>
          <w:numId w:val="2"/>
        </w:numPr>
        <w:pBdr>
          <w:top w:val="nil"/>
          <w:left w:val="nil"/>
          <w:bottom w:val="nil"/>
          <w:right w:val="nil"/>
          <w:between w:val="nil"/>
        </w:pBdr>
        <w:spacing w:after="0"/>
        <w:jc w:val="both"/>
        <w:rPr>
          <w:rFonts w:ascii="Calibri" w:eastAsia="Calibri" w:hAnsi="Calibri" w:cs="Calibri"/>
          <w:b/>
          <w:bCs/>
          <w:color w:val="000000"/>
        </w:rPr>
      </w:pPr>
      <w:r>
        <w:rPr>
          <w:rFonts w:ascii="Calibri" w:eastAsia="Calibri" w:hAnsi="Calibri" w:cs="Calibri"/>
          <w:b/>
          <w:bCs/>
          <w:color w:val="000000"/>
        </w:rPr>
        <w:t>Wenxuan Tang</w:t>
      </w:r>
    </w:p>
    <w:p w14:paraId="00000055" w14:textId="77777777" w:rsidR="0038713C" w:rsidRDefault="00000000">
      <w:pPr>
        <w:pBdr>
          <w:top w:val="nil"/>
          <w:left w:val="nil"/>
          <w:bottom w:val="nil"/>
          <w:right w:val="nil"/>
          <w:between w:val="nil"/>
        </w:pBdr>
        <w:spacing w:after="0"/>
        <w:ind w:left="720"/>
        <w:jc w:val="both"/>
        <w:rPr>
          <w:rFonts w:ascii="Calibri" w:eastAsia="Calibri" w:hAnsi="Calibri" w:cs="Calibri"/>
          <w:color w:val="000000"/>
        </w:rPr>
      </w:pPr>
      <w:r>
        <w:rPr>
          <w:rFonts w:ascii="Calibri" w:eastAsia="Calibri" w:hAnsi="Calibri" w:cs="Calibri"/>
          <w:color w:val="000000"/>
        </w:rPr>
        <w:t>Southeast University, China</w:t>
      </w:r>
    </w:p>
    <w:p w14:paraId="00000056" w14:textId="77777777" w:rsidR="0038713C" w:rsidRDefault="0038713C">
      <w:pPr>
        <w:pBdr>
          <w:top w:val="nil"/>
          <w:left w:val="nil"/>
          <w:bottom w:val="nil"/>
          <w:right w:val="nil"/>
          <w:between w:val="nil"/>
        </w:pBdr>
        <w:spacing w:after="0"/>
        <w:ind w:left="720"/>
        <w:jc w:val="both"/>
        <w:rPr>
          <w:rFonts w:ascii="Calibri" w:eastAsia="Calibri" w:hAnsi="Calibri" w:cs="Calibri"/>
          <w:color w:val="0000FF"/>
          <w:u w:val="single"/>
        </w:rPr>
      </w:pPr>
      <w:hyperlink r:id="rId12">
        <w:r>
          <w:rPr>
            <w:rFonts w:ascii="Calibri" w:eastAsia="Calibri" w:hAnsi="Calibri" w:cs="Calibri"/>
            <w:color w:val="0000FF"/>
            <w:u w:val="single"/>
          </w:rPr>
          <w:t>wenxuant@seu.edu.cn</w:t>
        </w:r>
      </w:hyperlink>
    </w:p>
    <w:p w14:paraId="00000057" w14:textId="4D1A6D78" w:rsidR="0038713C" w:rsidRDefault="00000000">
      <w:pPr>
        <w:numPr>
          <w:ilvl w:val="0"/>
          <w:numId w:val="2"/>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b/>
          <w:bCs/>
          <w:color w:val="000000"/>
        </w:rPr>
        <w:t>Muhammad Zubair</w:t>
      </w:r>
      <w:r w:rsidR="000F2A50">
        <w:rPr>
          <w:rFonts w:ascii="Calibri" w:eastAsia="Calibri" w:hAnsi="Calibri" w:cs="Calibri"/>
          <w:b/>
          <w:bCs/>
          <w:color w:val="000000"/>
        </w:rPr>
        <w:t xml:space="preserve"> (Lead Guest Editor)</w:t>
      </w:r>
    </w:p>
    <w:p w14:paraId="00000058" w14:textId="77777777" w:rsidR="0038713C" w:rsidRDefault="00000000">
      <w:pPr>
        <w:pBdr>
          <w:top w:val="nil"/>
          <w:left w:val="nil"/>
          <w:bottom w:val="nil"/>
          <w:right w:val="nil"/>
          <w:between w:val="nil"/>
        </w:pBdr>
        <w:spacing w:after="0"/>
        <w:ind w:left="720"/>
        <w:jc w:val="both"/>
        <w:rPr>
          <w:rFonts w:ascii="Calibri" w:eastAsia="Calibri" w:hAnsi="Calibri" w:cs="Calibri"/>
          <w:color w:val="000000"/>
        </w:rPr>
      </w:pPr>
      <w:r>
        <w:rPr>
          <w:rFonts w:ascii="Calibri" w:eastAsia="Calibri" w:hAnsi="Calibri" w:cs="Calibri"/>
          <w:color w:val="000000"/>
        </w:rPr>
        <w:t>University of Leicester, UK</w:t>
      </w:r>
    </w:p>
    <w:p w14:paraId="00000059" w14:textId="77777777" w:rsidR="0038713C" w:rsidRDefault="0038713C">
      <w:pPr>
        <w:pBdr>
          <w:top w:val="nil"/>
          <w:left w:val="nil"/>
          <w:bottom w:val="nil"/>
          <w:right w:val="nil"/>
          <w:between w:val="nil"/>
        </w:pBdr>
        <w:spacing w:after="0"/>
        <w:ind w:left="720"/>
        <w:jc w:val="both"/>
        <w:rPr>
          <w:rFonts w:ascii="Calibri" w:eastAsia="Calibri" w:hAnsi="Calibri" w:cs="Calibri"/>
          <w:color w:val="0000FF"/>
          <w:u w:val="single"/>
        </w:rPr>
      </w:pPr>
      <w:hyperlink r:id="rId13">
        <w:r>
          <w:rPr>
            <w:rFonts w:ascii="Calibri" w:eastAsia="Calibri" w:hAnsi="Calibri" w:cs="Calibri"/>
            <w:color w:val="0000FF"/>
            <w:u w:val="single"/>
          </w:rPr>
          <w:t>muhammad.zubair@leicester.ac.uk</w:t>
        </w:r>
      </w:hyperlink>
    </w:p>
    <w:p w14:paraId="0000005A" w14:textId="77777777" w:rsidR="0038713C" w:rsidRDefault="00000000">
      <w:pPr>
        <w:numPr>
          <w:ilvl w:val="0"/>
          <w:numId w:val="2"/>
        </w:numPr>
        <w:pBdr>
          <w:top w:val="nil"/>
          <w:left w:val="nil"/>
          <w:bottom w:val="nil"/>
          <w:right w:val="nil"/>
          <w:between w:val="nil"/>
        </w:pBdr>
        <w:spacing w:after="0"/>
        <w:jc w:val="both"/>
        <w:rPr>
          <w:rFonts w:ascii="Calibri" w:eastAsia="Calibri" w:hAnsi="Calibri" w:cs="Calibri"/>
          <w:b/>
          <w:bCs/>
          <w:color w:val="000000"/>
        </w:rPr>
      </w:pPr>
      <w:r>
        <w:rPr>
          <w:rFonts w:ascii="Calibri" w:eastAsia="Calibri" w:hAnsi="Calibri" w:cs="Calibri"/>
          <w:b/>
          <w:bCs/>
          <w:color w:val="000000"/>
        </w:rPr>
        <w:t xml:space="preserve">Akram </w:t>
      </w:r>
      <w:proofErr w:type="spellStart"/>
      <w:r>
        <w:rPr>
          <w:rFonts w:ascii="Calibri" w:eastAsia="Calibri" w:hAnsi="Calibri" w:cs="Calibri"/>
          <w:b/>
          <w:bCs/>
          <w:color w:val="000000"/>
        </w:rPr>
        <w:t>Alomainy</w:t>
      </w:r>
      <w:proofErr w:type="spellEnd"/>
    </w:p>
    <w:p w14:paraId="0000005B" w14:textId="3E0747C7" w:rsidR="0038713C" w:rsidRDefault="00000000">
      <w:pPr>
        <w:pBdr>
          <w:top w:val="nil"/>
          <w:left w:val="nil"/>
          <w:bottom w:val="nil"/>
          <w:right w:val="nil"/>
          <w:between w:val="nil"/>
        </w:pBdr>
        <w:spacing w:after="0"/>
        <w:ind w:left="720"/>
        <w:jc w:val="both"/>
        <w:rPr>
          <w:rFonts w:ascii="Calibri" w:eastAsia="Calibri" w:hAnsi="Calibri" w:cs="Calibri"/>
          <w:color w:val="000000"/>
        </w:rPr>
      </w:pPr>
      <w:r>
        <w:rPr>
          <w:rFonts w:ascii="Calibri" w:eastAsia="Calibri" w:hAnsi="Calibri" w:cs="Calibri"/>
          <w:color w:val="000000"/>
        </w:rPr>
        <w:t>Queen Mary University of London, UK</w:t>
      </w:r>
    </w:p>
    <w:p w14:paraId="0000005E" w14:textId="4F5B6806" w:rsidR="0038713C" w:rsidRPr="00306775" w:rsidRDefault="00306775" w:rsidP="00306775">
      <w:pPr>
        <w:pBdr>
          <w:top w:val="nil"/>
          <w:left w:val="nil"/>
          <w:bottom w:val="nil"/>
          <w:right w:val="nil"/>
          <w:between w:val="nil"/>
        </w:pBdr>
        <w:spacing w:after="0"/>
        <w:ind w:left="720"/>
        <w:jc w:val="both"/>
        <w:rPr>
          <w:rFonts w:ascii="Calibri" w:eastAsia="Calibri" w:hAnsi="Calibri" w:cs="Calibri"/>
          <w:color w:val="000000"/>
        </w:rPr>
      </w:pPr>
      <w:hyperlink r:id="rId14" w:history="1">
        <w:r w:rsidRPr="00D76DD7">
          <w:rPr>
            <w:rStyle w:val="Hyperlink"/>
            <w:rFonts w:ascii="Calibri" w:eastAsia="Calibri" w:hAnsi="Calibri" w:cs="Calibri"/>
          </w:rPr>
          <w:t>a.alomainy@qmul.ac.uk</w:t>
        </w:r>
      </w:hyperlink>
    </w:p>
    <w:sectPr w:rsidR="0038713C" w:rsidRPr="00306775">
      <w:head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6E2D67" w14:textId="77777777" w:rsidR="003B5C6F" w:rsidRDefault="003B5C6F" w:rsidP="0049099E">
      <w:pPr>
        <w:spacing w:after="0" w:line="240" w:lineRule="auto"/>
      </w:pPr>
      <w:r>
        <w:separator/>
      </w:r>
    </w:p>
  </w:endnote>
  <w:endnote w:type="continuationSeparator" w:id="0">
    <w:p w14:paraId="5A0CD734" w14:textId="77777777" w:rsidR="003B5C6F" w:rsidRDefault="003B5C6F" w:rsidP="00490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FEE3848-8A2F-1140-92AC-C46BAE4A1063}"/>
    <w:embedBold r:id="rId2" w:fontKey="{2884823F-407C-5F48-AA95-C416CAC4A41F}"/>
    <w:embedItalic r:id="rId3" w:fontKey="{2D784F96-F093-8A47-A566-A7D95564A75E}"/>
    <w:embedBoldItalic r:id="rId4" w:fontKey="{AD06E82D-AC2A-3E40-8753-D89189293132}"/>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6" w:fontKey="{002757BF-4D18-2241-B9F2-803FE7834CE0}"/>
  </w:font>
  <w:font w:name="Cambria">
    <w:panose1 w:val="02040503050406030204"/>
    <w:charset w:val="00"/>
    <w:family w:val="roman"/>
    <w:pitch w:val="variable"/>
    <w:sig w:usb0="E00006FF" w:usb1="420024FF" w:usb2="02000000" w:usb3="00000000" w:csb0="0000019F" w:csb1="00000000"/>
    <w:embedRegular r:id="rId7" w:fontKey="{1C7A6E78-4554-0B4B-A5F8-36F3C020AEB7}"/>
    <w:embedBold r:id="rId8" w:fontKey="{FABBAD13-B6DC-B64C-A2D4-49869B72B724}"/>
    <w:embedItalic r:id="rId9" w:fontKey="{ED815C55-0425-554E-80BC-6AC4D6BB4FB4}"/>
    <w:embedBoldItalic r:id="rId10" w:fontKey="{3E5E4AAD-4FBE-F046-804C-BB1CCD0E3D79}"/>
  </w:font>
  <w:font w:name="Calibri">
    <w:panose1 w:val="020F0502020204030204"/>
    <w:charset w:val="00"/>
    <w:family w:val="swiss"/>
    <w:pitch w:val="variable"/>
    <w:sig w:usb0="E4002EFF" w:usb1="C200247B" w:usb2="00000009" w:usb3="00000000" w:csb0="000001FF" w:csb1="00000000"/>
    <w:embedRegular r:id="rId11" w:fontKey="{C00D8567-11E0-1142-A6F2-EE16BB2A0998}"/>
    <w:embedBold r:id="rId12" w:fontKey="{81E18209-F11F-5B40-A1B5-72CE6C60E63E}"/>
    <w:embedItalic r:id="rId13" w:fontKey="{05BE8CD6-8C4C-364D-AD5B-F9BB15D424F1}"/>
    <w:embedBoldItalic r:id="rId14" w:fontKey="{5290BB97-6709-2844-A5C8-112E7C877C71}"/>
  </w:font>
  <w:font w:name="Courier">
    <w:altName w:val="Courier New"/>
    <w:panose1 w:val="00000000000000000000"/>
    <w:charset w:val="00"/>
    <w:family w:val="modern"/>
    <w:pitch w:val="fixed"/>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4400C2" w14:textId="77777777" w:rsidR="003B5C6F" w:rsidRDefault="003B5C6F" w:rsidP="0049099E">
      <w:pPr>
        <w:spacing w:after="0" w:line="240" w:lineRule="auto"/>
      </w:pPr>
      <w:r>
        <w:separator/>
      </w:r>
    </w:p>
  </w:footnote>
  <w:footnote w:type="continuationSeparator" w:id="0">
    <w:p w14:paraId="37156AB0" w14:textId="77777777" w:rsidR="003B5C6F" w:rsidRDefault="003B5C6F" w:rsidP="004909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77EFC" w14:textId="3F58EBD9" w:rsidR="0049099E" w:rsidRDefault="0049099E">
    <w:pPr>
      <w:pStyle w:val="Header"/>
    </w:pPr>
    <w:r w:rsidRPr="0049099E">
      <w:rPr>
        <w:noProof/>
        <w:color w:val="000000"/>
      </w:rPr>
      <w:drawing>
        <wp:anchor distT="0" distB="0" distL="114300" distR="114300" simplePos="0" relativeHeight="251659264" behindDoc="0" locked="0" layoutInCell="1" allowOverlap="1" wp14:anchorId="515CC829" wp14:editId="6F77AF0C">
          <wp:simplePos x="0" y="0"/>
          <wp:positionH relativeFrom="margin">
            <wp:posOffset>0</wp:posOffset>
          </wp:positionH>
          <wp:positionV relativeFrom="margin">
            <wp:posOffset>-296545</wp:posOffset>
          </wp:positionV>
          <wp:extent cx="787400" cy="683895"/>
          <wp:effectExtent l="0" t="0" r="0" b="1905"/>
          <wp:wrapThrough wrapText="bothSides">
            <wp:wrapPolygon edited="0">
              <wp:start x="0" y="0"/>
              <wp:lineTo x="0" y="21259"/>
              <wp:lineTo x="21252" y="21259"/>
              <wp:lineTo x="21252" y="0"/>
              <wp:lineTo x="0" y="0"/>
            </wp:wrapPolygon>
          </wp:wrapThrough>
          <wp:docPr id="707270504" name="Picture 1" descr="A dna symbol with rainbow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70504" name="Picture 1" descr="A dna symbol with rainbow color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V="1">
                    <a:off x="0" y="0"/>
                    <a:ext cx="787400" cy="6838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273B5"/>
    <w:multiLevelType w:val="hybridMultilevel"/>
    <w:tmpl w:val="479A6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9F7064"/>
    <w:multiLevelType w:val="multilevel"/>
    <w:tmpl w:val="EAE8787C"/>
    <w:lvl w:ilvl="0">
      <w:start w:val="1"/>
      <w:numFmt w:val="bullet"/>
      <w:pStyle w:val="ListNumber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662E94"/>
    <w:multiLevelType w:val="multilevel"/>
    <w:tmpl w:val="6520D38C"/>
    <w:lvl w:ilvl="0">
      <w:start w:val="1"/>
      <w:numFmt w:val="bullet"/>
      <w:pStyle w:val="ListNumber"/>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0724900"/>
    <w:multiLevelType w:val="multilevel"/>
    <w:tmpl w:val="9B2C92E6"/>
    <w:lvl w:ilvl="0">
      <w:start w:val="1"/>
      <w:numFmt w:val="bullet"/>
      <w:pStyle w:val="List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94D55A5"/>
    <w:multiLevelType w:val="multilevel"/>
    <w:tmpl w:val="AFDADF6A"/>
    <w:lvl w:ilvl="0">
      <w:start w:val="1"/>
      <w:numFmt w:val="decimal"/>
      <w:pStyle w:val="ListBullet3"/>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55C1101E"/>
    <w:multiLevelType w:val="multilevel"/>
    <w:tmpl w:val="1A8239E8"/>
    <w:lvl w:ilvl="0">
      <w:start w:val="1"/>
      <w:numFmt w:val="decimal"/>
      <w:pStyle w:val="ListNumber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7B9D1534"/>
    <w:multiLevelType w:val="hybridMultilevel"/>
    <w:tmpl w:val="41083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4090895">
    <w:abstractNumId w:val="1"/>
  </w:num>
  <w:num w:numId="2" w16cid:durableId="2098862094">
    <w:abstractNumId w:val="2"/>
  </w:num>
  <w:num w:numId="3" w16cid:durableId="41179210">
    <w:abstractNumId w:val="3"/>
  </w:num>
  <w:num w:numId="4" w16cid:durableId="1560627648">
    <w:abstractNumId w:val="4"/>
  </w:num>
  <w:num w:numId="5" w16cid:durableId="2072384369">
    <w:abstractNumId w:val="5"/>
  </w:num>
  <w:num w:numId="6" w16cid:durableId="292903721">
    <w:abstractNumId w:val="6"/>
  </w:num>
  <w:num w:numId="7" w16cid:durableId="18794632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13C"/>
    <w:rsid w:val="000F2A50"/>
    <w:rsid w:val="002A1D73"/>
    <w:rsid w:val="00306775"/>
    <w:rsid w:val="00340EE8"/>
    <w:rsid w:val="0038713C"/>
    <w:rsid w:val="003B5C6F"/>
    <w:rsid w:val="0049099E"/>
    <w:rsid w:val="005614BB"/>
    <w:rsid w:val="005E7F25"/>
    <w:rsid w:val="006C7FE0"/>
    <w:rsid w:val="00860716"/>
    <w:rsid w:val="008A01FF"/>
    <w:rsid w:val="00AE75DF"/>
    <w:rsid w:val="00BD2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66350"/>
  <w15:docId w15:val="{C2C5AAF0-4703-E54A-8D09-F73172FEE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40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4061"/>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table" w:customStyle="1" w:styleId="TableNormal1">
    <w:name w:val="TableNormal"/>
    <w:tblPr>
      <w:tblCellMar>
        <w:top w:w="100" w:type="dxa"/>
        <w:left w:w="100" w:type="dxa"/>
        <w:bottom w:w="100" w:type="dxa"/>
        <w:right w:w="100" w:type="dxa"/>
      </w:tblCellMar>
    </w:tblPr>
  </w:style>
  <w:style w:type="paragraph" w:styleId="MacroText">
    <w:name w:val="macro"/>
    <w:link w:val="MacroTextChar"/>
    <w:uiPriority w:val="99"/>
    <w:unhideWhenUsed/>
    <w:qFormat/>
    <w:pPr>
      <w:tabs>
        <w:tab w:val="left" w:pos="576"/>
        <w:tab w:val="left" w:pos="1152"/>
        <w:tab w:val="left" w:pos="1728"/>
        <w:tab w:val="left" w:pos="2304"/>
        <w:tab w:val="left" w:pos="2880"/>
        <w:tab w:val="left" w:pos="3456"/>
        <w:tab w:val="left" w:pos="4032"/>
      </w:tabs>
    </w:pPr>
    <w:rPr>
      <w:rFonts w:ascii="Courier" w:hAnsi="Courier"/>
    </w:rPr>
  </w:style>
  <w:style w:type="paragraph" w:styleId="List3">
    <w:name w:val="List 3"/>
    <w:basedOn w:val="Normal"/>
    <w:uiPriority w:val="99"/>
    <w:unhideWhenUsed/>
    <w:qFormat/>
    <w:pPr>
      <w:ind w:left="1080" w:hanging="360"/>
      <w:contextualSpacing/>
    </w:pPr>
  </w:style>
  <w:style w:type="paragraph" w:styleId="ListNumber2">
    <w:name w:val="List Number 2"/>
    <w:basedOn w:val="Normal"/>
    <w:uiPriority w:val="99"/>
    <w:unhideWhenUsed/>
    <w:qFormat/>
    <w:pPr>
      <w:numPr>
        <w:numId w:val="1"/>
      </w:numPr>
      <w:contextualSpacing/>
    </w:pPr>
  </w:style>
  <w:style w:type="paragraph" w:styleId="ListNumber">
    <w:name w:val="List Number"/>
    <w:basedOn w:val="Normal"/>
    <w:uiPriority w:val="99"/>
    <w:unhideWhenUsed/>
    <w:qFormat/>
    <w:pPr>
      <w:numPr>
        <w:numId w:val="2"/>
      </w:numPr>
      <w:contextualSpacing/>
    </w:pPr>
  </w:style>
  <w:style w:type="paragraph" w:styleId="Caption">
    <w:name w:val="caption"/>
    <w:basedOn w:val="Normal"/>
    <w:next w:val="Normal"/>
    <w:uiPriority w:val="35"/>
    <w:semiHidden/>
    <w:unhideWhenUsed/>
    <w:qFormat/>
    <w:pPr>
      <w:spacing w:line="240" w:lineRule="auto"/>
    </w:pPr>
    <w:rPr>
      <w:b/>
      <w:bCs/>
      <w:color w:val="4F81BD" w:themeColor="accent1"/>
      <w:sz w:val="18"/>
      <w:szCs w:val="18"/>
    </w:rPr>
  </w:style>
  <w:style w:type="paragraph" w:styleId="ListBullet">
    <w:name w:val="List Bullet"/>
    <w:basedOn w:val="Normal"/>
    <w:uiPriority w:val="99"/>
    <w:unhideWhenUsed/>
    <w:qFormat/>
    <w:pPr>
      <w:numPr>
        <w:numId w:val="3"/>
      </w:numPr>
      <w:contextualSpacing/>
    </w:pPr>
  </w:style>
  <w:style w:type="paragraph" w:styleId="BodyText3">
    <w:name w:val="Body Text 3"/>
    <w:basedOn w:val="Normal"/>
    <w:link w:val="BodyText3Char"/>
    <w:uiPriority w:val="99"/>
    <w:unhideWhenUsed/>
    <w:qFormat/>
    <w:pPr>
      <w:spacing w:after="120"/>
    </w:pPr>
    <w:rPr>
      <w:sz w:val="16"/>
      <w:szCs w:val="16"/>
    </w:rPr>
  </w:style>
  <w:style w:type="paragraph" w:styleId="ListBullet3">
    <w:name w:val="List Bullet 3"/>
    <w:basedOn w:val="Normal"/>
    <w:uiPriority w:val="99"/>
    <w:unhideWhenUsed/>
    <w:qFormat/>
    <w:pPr>
      <w:numPr>
        <w:numId w:val="4"/>
      </w:numPr>
      <w:contextualSpacing/>
    </w:pPr>
  </w:style>
  <w:style w:type="paragraph" w:styleId="BodyText">
    <w:name w:val="Body Text"/>
    <w:basedOn w:val="Normal"/>
    <w:link w:val="BodyTextChar"/>
    <w:uiPriority w:val="99"/>
    <w:unhideWhenUsed/>
    <w:qFormat/>
    <w:pPr>
      <w:spacing w:after="120"/>
    </w:pPr>
  </w:style>
  <w:style w:type="paragraph" w:styleId="ListNumber3">
    <w:name w:val="List Number 3"/>
    <w:basedOn w:val="Normal"/>
    <w:uiPriority w:val="99"/>
    <w:unhideWhenUsed/>
    <w:qFormat/>
    <w:pPr>
      <w:numPr>
        <w:numId w:val="5"/>
      </w:numPr>
      <w:contextualSpacing/>
    </w:pPr>
  </w:style>
  <w:style w:type="paragraph" w:styleId="List2">
    <w:name w:val="List 2"/>
    <w:basedOn w:val="Normal"/>
    <w:uiPriority w:val="99"/>
    <w:unhideWhenUsed/>
    <w:qFormat/>
    <w:pPr>
      <w:ind w:left="720" w:hanging="360"/>
      <w:contextualSpacing/>
    </w:pPr>
  </w:style>
  <w:style w:type="paragraph" w:styleId="ListContinue">
    <w:name w:val="List Continue"/>
    <w:basedOn w:val="Normal"/>
    <w:uiPriority w:val="99"/>
    <w:unhideWhenUsed/>
    <w:qFormat/>
    <w:pPr>
      <w:spacing w:after="120"/>
      <w:ind w:left="360"/>
      <w:contextualSpacing/>
    </w:pPr>
  </w:style>
  <w:style w:type="paragraph" w:styleId="ListBullet2">
    <w:name w:val="List Bullet 2"/>
    <w:basedOn w:val="Normal"/>
    <w:uiPriority w:val="99"/>
    <w:unhideWhenUsed/>
    <w:qFormat/>
    <w:pPr>
      <w:tabs>
        <w:tab w:val="num" w:pos="720"/>
      </w:tabs>
      <w:ind w:left="720" w:hanging="720"/>
      <w:contextualSpacing/>
    </w:p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List">
    <w:name w:val="List"/>
    <w:basedOn w:val="Normal"/>
    <w:uiPriority w:val="99"/>
    <w:unhideWhenUsed/>
    <w:qFormat/>
    <w:pPr>
      <w:ind w:left="360" w:hanging="360"/>
      <w:contextualSpacing/>
    </w:pPr>
  </w:style>
  <w:style w:type="paragraph" w:styleId="BodyText2">
    <w:name w:val="Body Text 2"/>
    <w:basedOn w:val="Normal"/>
    <w:link w:val="BodyText2Char"/>
    <w:uiPriority w:val="99"/>
    <w:unhideWhenUsed/>
    <w:qFormat/>
    <w:pPr>
      <w:spacing w:after="120" w:line="480" w:lineRule="auto"/>
    </w:pPr>
  </w:style>
  <w:style w:type="paragraph" w:styleId="ListContinue2">
    <w:name w:val="List Continue 2"/>
    <w:basedOn w:val="Normal"/>
    <w:uiPriority w:val="99"/>
    <w:unhideWhenUsed/>
    <w:qFormat/>
    <w:pPr>
      <w:spacing w:after="120"/>
      <w:ind w:left="720"/>
      <w:contextualSpacing/>
    </w:pPr>
  </w:style>
  <w:style w:type="paragraph" w:styleId="ListContinue3">
    <w:name w:val="List Continue 3"/>
    <w:basedOn w:val="Normal"/>
    <w:uiPriority w:val="99"/>
    <w:unhideWhenUsed/>
    <w:qFormat/>
    <w:pPr>
      <w:spacing w:after="120"/>
      <w:ind w:left="1080"/>
      <w:contextualSpacing/>
    </w:p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qFormat/>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qFormat/>
    <w:rPr>
      <w:color w:val="365F91"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qFormat/>
    <w:rPr>
      <w:color w:val="943634" w:themeColor="accent2" w:themeShade="BF"/>
    </w:rPr>
    <w:tblPr>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qFormat/>
    <w:rPr>
      <w:color w:val="76923C" w:themeColor="accent3" w:themeShade="BF"/>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qFormat/>
    <w:rPr>
      <w:color w:val="5F497A" w:themeColor="accent4" w:themeShade="BF"/>
    </w:rPr>
    <w:tblPr>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qFormat/>
    <w:rPr>
      <w:color w:val="31849B" w:themeColor="accent5" w:themeShade="BF"/>
    </w:rPr>
    <w:tblPr>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qFormat/>
    <w:rPr>
      <w:color w:val="E36C0A" w:themeColor="accent6" w:themeShade="BF"/>
    </w:rPr>
    <w:tblPr>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qFormat/>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qFormat/>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qFormat/>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qFormat/>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qFormat/>
    <w:tblPr>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qFormat/>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qFormat/>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qFormat/>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LightGrid-Accent1">
    <w:name w:val="Light Grid Accent 1"/>
    <w:basedOn w:val="TableNormal"/>
    <w:uiPriority w:val="62"/>
    <w:qFormat/>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styleId="LightGrid-Accent2">
    <w:name w:val="Light Grid Accent 2"/>
    <w:basedOn w:val="TableNormal"/>
    <w:uiPriority w:val="62"/>
    <w:qFormat/>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LightGrid-Accent3">
    <w:name w:val="Light Grid Accent 3"/>
    <w:basedOn w:val="TableNormal"/>
    <w:uiPriority w:val="62"/>
    <w:qFormat/>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tcPr>
    </w:tblStylePr>
  </w:style>
  <w:style w:type="table" w:styleId="LightGrid-Accent4">
    <w:name w:val="Light Grid Accent 4"/>
    <w:basedOn w:val="TableNormal"/>
    <w:uiPriority w:val="62"/>
    <w:qFormat/>
    <w:tblPr>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tcPr>
    </w:tblStylePr>
  </w:style>
  <w:style w:type="table" w:styleId="LightGrid-Accent5">
    <w:name w:val="Light Grid Accent 5"/>
    <w:basedOn w:val="TableNormal"/>
    <w:uiPriority w:val="62"/>
    <w:qFormat/>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table" w:styleId="LightGrid-Accent6">
    <w:name w:val="Light Grid Accent 6"/>
    <w:basedOn w:val="TableNormal"/>
    <w:uiPriority w:val="62"/>
    <w:qFormat/>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tcPr>
    </w:tblStylePr>
  </w:style>
  <w:style w:type="table" w:styleId="MediumShading1">
    <w:name w:val="Medium Shading 1"/>
    <w:basedOn w:val="TableNormal"/>
    <w:uiPriority w:val="63"/>
    <w:qFormat/>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qFormat/>
    <w:rPr>
      <w:color w:val="000000" w:themeColor="text1"/>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qFormat/>
    <w:rPr>
      <w:color w:val="000000" w:themeColor="text1"/>
    </w:rPr>
    <w:tblPr>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qFormat/>
    <w:rPr>
      <w:color w:val="000000" w:themeColor="text1"/>
    </w:rPr>
    <w:tblPr>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qFormat/>
    <w:rPr>
      <w:color w:val="000000" w:themeColor="text1"/>
    </w:rPr>
    <w:tblPr>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qFormat/>
    <w:rPr>
      <w:color w:val="000000" w:themeColor="text1"/>
    </w:rPr>
    <w:tblPr>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qFormat/>
    <w:rPr>
      <w:color w:val="000000" w:themeColor="text1"/>
    </w:rPr>
    <w:tblPr>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qFormat/>
    <w:rPr>
      <w:color w:val="000000" w:themeColor="text1"/>
    </w:rPr>
    <w:tblPr>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qFormat/>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qFormat/>
    <w:rPr>
      <w:rFonts w:asciiTheme="majorHAnsi" w:eastAsiaTheme="majorEastAsia" w:hAnsiTheme="majorHAnsi" w:cstheme="majorBidi"/>
      <w:color w:val="000000" w:themeColor="text1"/>
    </w:rPr>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qFormat/>
    <w:rPr>
      <w:rFonts w:asciiTheme="majorHAnsi" w:eastAsiaTheme="majorEastAsia" w:hAnsiTheme="majorHAnsi" w:cstheme="majorBidi"/>
      <w:color w:val="000000" w:themeColor="text1"/>
    </w:rPr>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qFormat/>
    <w:rPr>
      <w:rFonts w:asciiTheme="majorHAnsi" w:eastAsiaTheme="majorEastAsia" w:hAnsiTheme="majorHAnsi" w:cstheme="majorBidi"/>
      <w:color w:val="000000" w:themeColor="text1"/>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qFormat/>
    <w:rPr>
      <w:rFonts w:asciiTheme="majorHAnsi" w:eastAsiaTheme="majorEastAsia" w:hAnsiTheme="majorHAnsi" w:cstheme="majorBidi"/>
      <w:color w:val="000000" w:themeColor="text1"/>
    </w:rPr>
    <w:tblPr>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qFormat/>
    <w:rPr>
      <w:rFonts w:asciiTheme="majorHAnsi" w:eastAsiaTheme="majorEastAsia" w:hAnsiTheme="majorHAnsi" w:cstheme="majorBidi"/>
      <w:color w:val="000000" w:themeColor="text1"/>
    </w:rPr>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qFormat/>
    <w:rPr>
      <w:rFonts w:asciiTheme="majorHAnsi" w:eastAsiaTheme="majorEastAsia" w:hAnsiTheme="majorHAnsi" w:cstheme="majorBidi"/>
      <w:color w:val="000000" w:themeColor="text1"/>
    </w:rPr>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qFormat/>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qFormat/>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qFormat/>
    <w:tblPr>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qFormat/>
    <w:tblPr>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qFormat/>
    <w:tblPr>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qFormat/>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qFormat/>
    <w:tblPr>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qFormat/>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qFormat/>
    <w:rPr>
      <w:rFonts w:asciiTheme="majorHAnsi" w:eastAsiaTheme="majorEastAsia" w:hAnsiTheme="majorHAnsi" w:cstheme="majorBidi"/>
      <w:color w:val="000000" w:themeColor="text1"/>
    </w:rPr>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auto"/>
          <w:insideV w:val="single" w:sz="6" w:space="0" w:color="auto"/>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qFormat/>
    <w:rPr>
      <w:rFonts w:asciiTheme="majorHAnsi" w:eastAsiaTheme="majorEastAsia" w:hAnsiTheme="majorHAnsi" w:cstheme="majorBidi"/>
      <w:color w:val="000000" w:themeColor="text1"/>
    </w:rPr>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auto"/>
          <w:insideV w:val="single" w:sz="6" w:space="0" w:color="auto"/>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qFormat/>
    <w:rPr>
      <w:rFonts w:asciiTheme="majorHAnsi" w:eastAsiaTheme="majorEastAsia" w:hAnsiTheme="majorHAnsi" w:cstheme="majorBidi"/>
      <w:color w:val="000000" w:themeColor="text1"/>
    </w:rPr>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auto"/>
          <w:insideV w:val="single" w:sz="6" w:space="0" w:color="auto"/>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qFormat/>
    <w:rPr>
      <w:rFonts w:asciiTheme="majorHAnsi" w:eastAsiaTheme="majorEastAsia" w:hAnsiTheme="majorHAnsi" w:cstheme="majorBidi"/>
      <w:color w:val="000000" w:themeColor="text1"/>
    </w:rPr>
    <w:tblPr>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auto"/>
          <w:insideV w:val="single" w:sz="6" w:space="0" w:color="auto"/>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qFormat/>
    <w:rPr>
      <w:rFonts w:asciiTheme="majorHAnsi" w:eastAsiaTheme="majorEastAsia" w:hAnsiTheme="majorHAnsi" w:cstheme="majorBidi"/>
      <w:color w:val="000000" w:themeColor="text1"/>
    </w:rPr>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auto"/>
          <w:insideV w:val="single" w:sz="6" w:space="0" w:color="auto"/>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qFormat/>
    <w:rPr>
      <w:rFonts w:asciiTheme="majorHAnsi" w:eastAsiaTheme="majorEastAsia" w:hAnsiTheme="majorHAnsi" w:cstheme="majorBidi"/>
      <w:color w:val="000000" w:themeColor="text1"/>
    </w:rPr>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auto"/>
          <w:insideV w:val="single" w:sz="6" w:space="0" w:color="auto"/>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table" w:styleId="MediumGrid3-Accent1">
    <w:name w:val="Medium Grid 3 Accent 1"/>
    <w:basedOn w:val="TableNormal"/>
    <w:uiPriority w:val="69"/>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7BFDE" w:themeFill="accent1" w:themeFillTint="7F"/>
      </w:tcPr>
    </w:tblStylePr>
  </w:style>
  <w:style w:type="table" w:styleId="MediumGrid3-Accent2">
    <w:name w:val="Medium Grid 3 Accent 2"/>
    <w:basedOn w:val="TableNormal"/>
    <w:uiPriority w:val="69"/>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FA7A6" w:themeFill="accent2" w:themeFillTint="7F"/>
      </w:tcPr>
    </w:tblStylePr>
  </w:style>
  <w:style w:type="table" w:styleId="MediumGrid3-Accent3">
    <w:name w:val="Medium Grid 3 Accent 3"/>
    <w:basedOn w:val="TableNormal"/>
    <w:uiPriority w:val="69"/>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CDDDAC" w:themeFill="accent3" w:themeFillTint="7F"/>
      </w:tcPr>
    </w:tblStylePr>
  </w:style>
  <w:style w:type="table" w:styleId="MediumGrid3-Accent4">
    <w:name w:val="Medium Grid 3 Accent 4"/>
    <w:basedOn w:val="TableNormal"/>
    <w:uiPriority w:val="69"/>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BFB1D0" w:themeFill="accent4" w:themeFillTint="7F"/>
      </w:tcPr>
    </w:tblStylePr>
  </w:style>
  <w:style w:type="table" w:styleId="MediumGrid3-Accent5">
    <w:name w:val="Medium Grid 3 Accent 5"/>
    <w:basedOn w:val="TableNormal"/>
    <w:uiPriority w:val="69"/>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5D5E2" w:themeFill="accent5" w:themeFillTint="7F"/>
      </w:tcPr>
    </w:tblStylePr>
  </w:style>
  <w:style w:type="table" w:styleId="MediumGrid3-Accent6">
    <w:name w:val="Medium Grid 3 Accent 6"/>
    <w:basedOn w:val="TableNormal"/>
    <w:uiPriority w:val="69"/>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BCAA2" w:themeFill="accent6" w:themeFillTint="7F"/>
      </w:tcPr>
    </w:tblStylePr>
  </w:style>
  <w:style w:type="table" w:styleId="DarkList">
    <w:name w:val="Dark List"/>
    <w:basedOn w:val="TableNormal"/>
    <w:uiPriority w:val="70"/>
    <w:qFormat/>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qFormat/>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qFormat/>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qFormat/>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qFormat/>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qFormat/>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qFormat/>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qFormat/>
    <w:rPr>
      <w:color w:val="000000" w:themeColor="text1"/>
    </w:rPr>
    <w:tblPr>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qFormat/>
    <w:rPr>
      <w:color w:val="000000" w:themeColor="text1"/>
    </w:rPr>
    <w:tblPr>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qFormat/>
    <w:rPr>
      <w:color w:val="000000" w:themeColor="text1"/>
    </w:rPr>
    <w:tblPr>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qFormat/>
    <w:rPr>
      <w:color w:val="000000" w:themeColor="text1"/>
    </w:rPr>
    <w:tblPr>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qFormat/>
    <w:rPr>
      <w:color w:val="000000" w:themeColor="text1"/>
    </w:rPr>
    <w:tblPr>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qFormat/>
    <w:rPr>
      <w:color w:val="000000" w:themeColor="text1"/>
    </w:rPr>
    <w:tblPr>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qFormat/>
    <w:rPr>
      <w:color w:val="000000" w:themeColor="text1"/>
    </w:rPr>
    <w:tblPr>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qFormat/>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qFormat/>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qFormat/>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qFormat/>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qFormat/>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qFormat/>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qFormat/>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qFormat/>
    <w:rPr>
      <w:color w:val="000000" w:themeColor="text1"/>
    </w:rPr>
    <w:tblPr>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qFormat/>
    <w:rPr>
      <w:color w:val="000000" w:themeColor="text1"/>
    </w:rPr>
    <w:tblPr>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qFormat/>
    <w:rPr>
      <w:color w:val="000000" w:themeColor="text1"/>
    </w:rPr>
    <w:tblPr>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qFormat/>
    <w:rPr>
      <w:color w:val="000000" w:themeColor="text1"/>
    </w:rPr>
    <w:tblPr>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qFormat/>
    <w:rPr>
      <w:color w:val="000000" w:themeColor="text1"/>
    </w:rPr>
    <w:tblPr>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qFormat/>
    <w:rPr>
      <w:color w:val="000000" w:themeColor="text1"/>
    </w:rPr>
    <w:tblPr>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qFormat/>
    <w:rPr>
      <w:color w:val="000000" w:themeColor="text1"/>
    </w:rPr>
    <w:tblPr>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000FF" w:themeColor="hyperlink"/>
      <w:u w:val="single"/>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NoSpacing">
    <w:name w:val="No Spacing"/>
    <w:uiPriority w:val="1"/>
    <w:qFormat/>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qFormat/>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qFormat/>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qFormat/>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pPr>
      <w:ind w:left="720"/>
      <w:contextualSpacing/>
    </w:pPr>
  </w:style>
  <w:style w:type="character" w:customStyle="1" w:styleId="BodyTextChar">
    <w:name w:val="Body Text Char"/>
    <w:basedOn w:val="DefaultParagraphFont"/>
    <w:link w:val="BodyText"/>
    <w:uiPriority w:val="99"/>
    <w:qFormat/>
  </w:style>
  <w:style w:type="character" w:customStyle="1" w:styleId="BodyText2Char">
    <w:name w:val="Body Text 2 Char"/>
    <w:basedOn w:val="DefaultParagraphFont"/>
    <w:link w:val="BodyText2"/>
    <w:uiPriority w:val="99"/>
    <w:qFormat/>
  </w:style>
  <w:style w:type="character" w:customStyle="1" w:styleId="BodyText3Char">
    <w:name w:val="Body Text 3 Char"/>
    <w:basedOn w:val="DefaultParagraphFont"/>
    <w:link w:val="BodyText3"/>
    <w:uiPriority w:val="99"/>
    <w:qFormat/>
    <w:rPr>
      <w:sz w:val="16"/>
      <w:szCs w:val="16"/>
    </w:rPr>
  </w:style>
  <w:style w:type="character" w:customStyle="1" w:styleId="MacroTextChar">
    <w:name w:val="Macro Text Char"/>
    <w:basedOn w:val="DefaultParagraphFont"/>
    <w:link w:val="MacroText"/>
    <w:uiPriority w:val="99"/>
    <w:qFormat/>
    <w:rPr>
      <w:rFonts w:ascii="Courier" w:hAnsi="Courier"/>
      <w:sz w:val="20"/>
      <w:szCs w:val="20"/>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qFormat/>
    <w:rPr>
      <w:i/>
      <w:iCs/>
      <w:color w:val="000000" w:themeColor="text1"/>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color w:val="244061" w:themeColor="accent1" w:themeShade="80"/>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i/>
      <w:iCs/>
      <w:color w:val="244061" w:themeColor="accent1" w:themeShade="80"/>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404040" w:themeColor="text1" w:themeTint="BF"/>
      <w:sz w:val="20"/>
      <w:szCs w:val="20"/>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qFormat/>
    <w:rPr>
      <w:b/>
      <w:bCs/>
      <w:i/>
      <w:iCs/>
      <w:color w:val="4F81BD" w:themeColor="accent1"/>
    </w:rPr>
  </w:style>
  <w:style w:type="character" w:customStyle="1" w:styleId="SubtleEmphasis1">
    <w:name w:val="Subtle Emphasis1"/>
    <w:basedOn w:val="DefaultParagraphFont"/>
    <w:uiPriority w:val="19"/>
    <w:qFormat/>
    <w:rPr>
      <w:i/>
      <w:iCs/>
      <w:color w:val="7F7F7F" w:themeColor="text1" w:themeTint="80"/>
    </w:rPr>
  </w:style>
  <w:style w:type="character" w:customStyle="1" w:styleId="IntenseEmphasis1">
    <w:name w:val="Intense Emphasis1"/>
    <w:basedOn w:val="DefaultParagraphFont"/>
    <w:uiPriority w:val="21"/>
    <w:qFormat/>
    <w:rPr>
      <w:b/>
      <w:bCs/>
      <w:i/>
      <w:iCs/>
      <w:color w:val="4F81BD" w:themeColor="accent1"/>
    </w:rPr>
  </w:style>
  <w:style w:type="character" w:customStyle="1" w:styleId="SubtleReference1">
    <w:name w:val="Subtle Reference1"/>
    <w:basedOn w:val="DefaultParagraphFont"/>
    <w:uiPriority w:val="31"/>
    <w:qFormat/>
    <w:rPr>
      <w:smallCaps/>
      <w:color w:val="C0504D" w:themeColor="accent2"/>
      <w:u w:val="single"/>
    </w:rPr>
  </w:style>
  <w:style w:type="character" w:customStyle="1" w:styleId="IntenseReference1">
    <w:name w:val="Intense Reference1"/>
    <w:basedOn w:val="DefaultParagraphFont"/>
    <w:uiPriority w:val="32"/>
    <w:qFormat/>
    <w:rPr>
      <w:b/>
      <w:bCs/>
      <w:smallCaps/>
      <w:color w:val="C0504D" w:themeColor="accent2"/>
      <w:spacing w:val="5"/>
      <w:u w:val="single"/>
    </w:rPr>
  </w:style>
  <w:style w:type="character" w:customStyle="1" w:styleId="BookTitle1">
    <w:name w:val="Book Title1"/>
    <w:basedOn w:val="DefaultParagraphFont"/>
    <w:uiPriority w:val="33"/>
    <w:qFormat/>
    <w:rPr>
      <w:b/>
      <w:bCs/>
      <w:smallCaps/>
      <w:spacing w:val="5"/>
    </w:rPr>
  </w:style>
  <w:style w:type="paragraph" w:customStyle="1" w:styleId="TOCHeading1">
    <w:name w:val="TOC Heading1"/>
    <w:basedOn w:val="Heading1"/>
    <w:next w:val="Normal"/>
    <w:uiPriority w:val="39"/>
    <w:semiHidden/>
    <w:unhideWhenUsed/>
    <w:qFormat/>
    <w:pPr>
      <w:outlineLvl w:val="9"/>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styleId="UnresolvedMention">
    <w:name w:val="Unresolved Mention"/>
    <w:basedOn w:val="DefaultParagraphFont"/>
    <w:uiPriority w:val="99"/>
    <w:semiHidden/>
    <w:unhideWhenUsed/>
    <w:rsid w:val="0075733E"/>
    <w:rPr>
      <w:color w:val="605E5C"/>
      <w:shd w:val="clear" w:color="auto" w:fill="E1DFDD"/>
    </w:rPr>
  </w:style>
  <w:style w:type="character" w:styleId="FollowedHyperlink">
    <w:name w:val="FollowedHyperlink"/>
    <w:basedOn w:val="DefaultParagraphFont"/>
    <w:uiPriority w:val="99"/>
    <w:semiHidden/>
    <w:unhideWhenUsed/>
    <w:rsid w:val="00F54C68"/>
    <w:rPr>
      <w:color w:val="800080" w:themeColor="followedHyperlink"/>
      <w:u w:val="single"/>
    </w:r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ieee-jerm.org/" TargetMode="External"/><Relationship Id="rId13" Type="http://schemas.openxmlformats.org/officeDocument/2006/relationships/hyperlink" Target="mailto:muhammad.zubair@leicester.ac.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wenxuant@seu.edu.c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fana.Mahbub@utdallas.ed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sima_noghanian@ieee.org" TargetMode="External"/><Relationship Id="rId4" Type="http://schemas.openxmlformats.org/officeDocument/2006/relationships/settings" Target="settings.xml"/><Relationship Id="rId9" Type="http://schemas.openxmlformats.org/officeDocument/2006/relationships/hyperlink" Target="https://ieee.atyponrex.com/journal/jerm-ieee" TargetMode="External"/><Relationship Id="rId14" Type="http://schemas.openxmlformats.org/officeDocument/2006/relationships/hyperlink" Target="mailto:a.alomainy@qmul.ac.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L3FmjWcIeXcHcgkC2kTPtKRxQ==">CgMxLjA4AHIhMVJ1Zjk3QVJUWUFiSFI5bG9wa0NwTGVCSEZVWEhYNU4y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593</Words>
  <Characters>3381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Microsoft Office User</cp:lastModifiedBy>
  <cp:revision>5</cp:revision>
  <dcterms:created xsi:type="dcterms:W3CDTF">2026-02-23T20:30:00Z</dcterms:created>
  <dcterms:modified xsi:type="dcterms:W3CDTF">2026-02-24T14:44:00Z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eyJoZGlkIjoiNjgzZGMyOTNkYzhlMjNkMmY3MjdkZTczOTkyMWI3MTIiLCJ1c2VySWQiOiIxNTkxODg3ODUyIn0=</vt:lpwstr>
  </property>
  <property fmtid="{D5CDD505-2E9C-101B-9397-08002B2CF9AE}" pid="3" name="KSOProductBuildVer">
    <vt:lpwstr>2052-12.1.0.23125</vt:lpwstr>
  </property>
  <property fmtid="{D5CDD505-2E9C-101B-9397-08002B2CF9AE}" pid="4" name="ICV">
    <vt:lpwstr>7C57715E49C44CC2B39C93B195E831B0_12</vt:lpwstr>
  </property>
</Properties>
</file>